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9B5237" w:rsidRPr="0015433F" w:rsidRDefault="009B5237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0"/>
          <w:szCs w:val="20"/>
        </w:rPr>
        <w:t>Gmina Skalbmierz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ul. Kościuszki 1</w:t>
      </w:r>
    </w:p>
    <w:p w:rsidR="005B7069" w:rsidRPr="006F0919" w:rsidRDefault="000E3E3A" w:rsidP="000E3E3A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28-530 Skalbmierz</w:t>
      </w:r>
    </w:p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3F32A2">
        <w:rPr>
          <w:rFonts w:ascii="Cambria" w:hAnsi="Cambria" w:cs="Arial"/>
          <w:sz w:val="20"/>
          <w:szCs w:val="20"/>
        </w:rPr>
        <w:t>……………………………………..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reprezentowaną przez </w:t>
      </w:r>
      <w:r w:rsidR="009B5237">
        <w:rPr>
          <w:rFonts w:ascii="Cambria" w:hAnsi="Cambria" w:cs="Arial"/>
          <w:sz w:val="20"/>
          <w:szCs w:val="20"/>
        </w:rPr>
        <w:t>Michała Markiewicza-Burmistrza Miasta i Gminy Skalbmierz</w:t>
      </w:r>
    </w:p>
    <w:p w:rsidR="008A4D66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</w:p>
    <w:p w:rsidR="009B5237" w:rsidRPr="0015433F" w:rsidRDefault="009B5237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przy kontrasygnacie Skarbnika Miasta i Gminy Skalbmierz – Wiolety Mleko-</w:t>
      </w:r>
      <w:proofErr w:type="spellStart"/>
      <w:r>
        <w:rPr>
          <w:rFonts w:ascii="Cambria" w:hAnsi="Cambria" w:cs="Arial"/>
          <w:b w:val="0"/>
          <w:bCs/>
          <w:sz w:val="20"/>
        </w:rPr>
        <w:t>Włosowicz</w:t>
      </w:r>
      <w:proofErr w:type="spellEnd"/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615C30" w:rsidRPr="00440B86" w:rsidRDefault="00B44D8D" w:rsidP="000E3E3A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2017 r. poz. 1579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</w:t>
      </w:r>
      <w:r w:rsidR="00BD592C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a </w:t>
      </w:r>
      <w:r w:rsidR="006A2B8E">
        <w:rPr>
          <w:rFonts w:ascii="Cambria" w:hAnsi="Cambria" w:cs="Arial"/>
          <w:b/>
          <w:bCs/>
          <w:iCs/>
          <w:sz w:val="20"/>
          <w:szCs w:val="20"/>
          <w:lang w:eastAsia="ar-SA"/>
        </w:rPr>
        <w:t>i remont dróg na terenie m</w:t>
      </w:r>
      <w:r w:rsidR="00BD592C">
        <w:rPr>
          <w:rFonts w:ascii="Cambria" w:hAnsi="Cambria" w:cs="Arial"/>
          <w:b/>
          <w:bCs/>
          <w:iCs/>
          <w:sz w:val="20"/>
          <w:szCs w:val="20"/>
          <w:lang w:eastAsia="ar-SA"/>
        </w:rPr>
        <w:t>iasta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6A2B8E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i gminy 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>Skalbmierz”</w:t>
      </w:r>
      <w:r w:rsidR="00615C30" w:rsidRPr="000E3E3A">
        <w:rPr>
          <w:rFonts w:ascii="Cambria" w:hAnsi="Cambria" w:cs="Arial"/>
          <w:bCs/>
          <w:i/>
          <w:sz w:val="20"/>
          <w:szCs w:val="20"/>
          <w:lang w:eastAsia="ar-SA"/>
        </w:rPr>
        <w:t>.</w:t>
      </w:r>
    </w:p>
    <w:p w:rsidR="00440B86" w:rsidRPr="000E3E3A" w:rsidRDefault="00440B86" w:rsidP="00440B86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6A2B8E" w:rsidRPr="006A2B8E" w:rsidRDefault="006A2B8E" w:rsidP="006A2B8E">
      <w:pPr>
        <w:pStyle w:val="Teksttreci0"/>
        <w:spacing w:line="276" w:lineRule="auto"/>
        <w:ind w:left="426" w:right="-1"/>
        <w:jc w:val="both"/>
        <w:rPr>
          <w:rFonts w:ascii="Cambria" w:hAnsi="Cambria" w:cs="Arial"/>
          <w:b/>
          <w:sz w:val="20"/>
          <w:szCs w:val="20"/>
        </w:rPr>
      </w:pPr>
      <w:r w:rsidRPr="006A2B8E">
        <w:rPr>
          <w:rFonts w:ascii="Cambria" w:hAnsi="Cambria" w:cs="Arial"/>
          <w:b/>
          <w:sz w:val="20"/>
          <w:szCs w:val="20"/>
        </w:rPr>
        <w:t xml:space="preserve">Zadanie 1 - Przebudowa  drogi wewnętrznej w miejscowości Skalbmierz dz. nr 800, 801/8          </w:t>
      </w:r>
      <w:r>
        <w:rPr>
          <w:rFonts w:ascii="Cambria" w:hAnsi="Cambria" w:cs="Arial"/>
          <w:b/>
          <w:sz w:val="20"/>
          <w:szCs w:val="20"/>
        </w:rPr>
        <w:t xml:space="preserve">               </w:t>
      </w:r>
      <w:r w:rsidRPr="006A2B8E">
        <w:rPr>
          <w:rFonts w:ascii="Cambria" w:hAnsi="Cambria" w:cs="Arial"/>
          <w:b/>
          <w:sz w:val="20"/>
          <w:szCs w:val="20"/>
        </w:rPr>
        <w:t xml:space="preserve">  (ul. Republiki Partyzanckiej).</w:t>
      </w:r>
    </w:p>
    <w:p w:rsidR="006A2B8E" w:rsidRPr="006A2B8E" w:rsidRDefault="006A2B8E" w:rsidP="006A2B8E">
      <w:pPr>
        <w:pStyle w:val="Teksttreci0"/>
        <w:spacing w:line="276" w:lineRule="auto"/>
        <w:ind w:left="426" w:right="-1"/>
        <w:jc w:val="both"/>
        <w:rPr>
          <w:rFonts w:ascii="Cambria" w:hAnsi="Cambria" w:cs="Arial"/>
          <w:b/>
          <w:sz w:val="20"/>
          <w:szCs w:val="20"/>
        </w:rPr>
      </w:pPr>
      <w:r w:rsidRPr="006A2B8E">
        <w:rPr>
          <w:rFonts w:ascii="Cambria" w:hAnsi="Cambria" w:cs="Arial"/>
          <w:b/>
          <w:sz w:val="20"/>
          <w:szCs w:val="20"/>
        </w:rPr>
        <w:t xml:space="preserve">Zadanie 2 – Przebudowa drogi wewnętrznej w miejscowości Skalbmierz dz. nr 769, 798                </w:t>
      </w:r>
      <w:r>
        <w:rPr>
          <w:rFonts w:ascii="Cambria" w:hAnsi="Cambria" w:cs="Arial"/>
          <w:b/>
          <w:sz w:val="20"/>
          <w:szCs w:val="20"/>
        </w:rPr>
        <w:t xml:space="preserve">              </w:t>
      </w:r>
      <w:r w:rsidRPr="006A2B8E">
        <w:rPr>
          <w:rFonts w:ascii="Cambria" w:hAnsi="Cambria" w:cs="Arial"/>
          <w:b/>
          <w:sz w:val="20"/>
          <w:szCs w:val="20"/>
        </w:rPr>
        <w:t xml:space="preserve"> (ul. Republiki Partyzanckiej).</w:t>
      </w:r>
    </w:p>
    <w:p w:rsidR="006A2B8E" w:rsidRPr="006A2B8E" w:rsidRDefault="006A2B8E" w:rsidP="006A2B8E">
      <w:pPr>
        <w:pStyle w:val="Teksttreci0"/>
        <w:spacing w:line="276" w:lineRule="auto"/>
        <w:ind w:left="426" w:right="-1"/>
        <w:jc w:val="both"/>
        <w:rPr>
          <w:rFonts w:ascii="Cambria" w:hAnsi="Cambria" w:cs="Arial"/>
          <w:b/>
          <w:sz w:val="20"/>
          <w:szCs w:val="20"/>
        </w:rPr>
      </w:pPr>
      <w:r w:rsidRPr="006A2B8E">
        <w:rPr>
          <w:rFonts w:ascii="Cambria" w:hAnsi="Cambria" w:cs="Arial"/>
          <w:b/>
          <w:sz w:val="20"/>
          <w:szCs w:val="20"/>
        </w:rPr>
        <w:t xml:space="preserve">Zadanie 3 - Przebudowa drogi dojazdowej w miejscowości </w:t>
      </w:r>
      <w:proofErr w:type="spellStart"/>
      <w:r w:rsidRPr="006A2B8E">
        <w:rPr>
          <w:rFonts w:ascii="Cambria" w:hAnsi="Cambria" w:cs="Arial"/>
          <w:b/>
          <w:sz w:val="20"/>
          <w:szCs w:val="20"/>
        </w:rPr>
        <w:t>Sietejów</w:t>
      </w:r>
      <w:proofErr w:type="spellEnd"/>
      <w:r w:rsidRPr="006A2B8E">
        <w:rPr>
          <w:rFonts w:ascii="Cambria" w:hAnsi="Cambria" w:cs="Arial"/>
          <w:b/>
          <w:sz w:val="20"/>
          <w:szCs w:val="20"/>
        </w:rPr>
        <w:t xml:space="preserve">  działka nr ew. 33, 122.</w:t>
      </w:r>
    </w:p>
    <w:p w:rsidR="006A2B8E" w:rsidRPr="006A2B8E" w:rsidRDefault="006A2B8E" w:rsidP="006A2B8E">
      <w:pPr>
        <w:pStyle w:val="Teksttreci0"/>
        <w:spacing w:line="276" w:lineRule="auto"/>
        <w:ind w:left="426" w:right="-1"/>
        <w:jc w:val="both"/>
        <w:rPr>
          <w:rFonts w:ascii="Cambria" w:hAnsi="Cambria" w:cs="Arial"/>
          <w:b/>
          <w:sz w:val="20"/>
          <w:szCs w:val="20"/>
        </w:rPr>
      </w:pPr>
      <w:r w:rsidRPr="006A2B8E">
        <w:rPr>
          <w:rFonts w:ascii="Cambria" w:hAnsi="Cambria" w:cs="Arial"/>
          <w:b/>
          <w:sz w:val="20"/>
          <w:szCs w:val="20"/>
        </w:rPr>
        <w:t>Zadanie 4 - Przebudowa drogi dojazdowej w miejscowości Małoszów działka nr ew. 414, 396.</w:t>
      </w:r>
    </w:p>
    <w:p w:rsidR="006A2B8E" w:rsidRPr="006A2B8E" w:rsidRDefault="006A2B8E" w:rsidP="006A2B8E">
      <w:pPr>
        <w:pStyle w:val="Teksttreci0"/>
        <w:spacing w:line="276" w:lineRule="auto"/>
        <w:ind w:left="426" w:right="-1"/>
        <w:jc w:val="both"/>
        <w:rPr>
          <w:rFonts w:ascii="Cambria" w:hAnsi="Cambria" w:cs="Arial"/>
          <w:b/>
          <w:sz w:val="20"/>
          <w:szCs w:val="20"/>
        </w:rPr>
      </w:pPr>
      <w:r w:rsidRPr="006A2B8E">
        <w:rPr>
          <w:rFonts w:ascii="Cambria" w:hAnsi="Cambria" w:cs="Arial"/>
          <w:b/>
          <w:sz w:val="20"/>
          <w:szCs w:val="20"/>
        </w:rPr>
        <w:t>Zadanie 5 - Remont drogi gminnej w miejscowości Sielec Biskupi Nr 003540T Sielec Biskupi-Sielec Kolonia.</w:t>
      </w:r>
    </w:p>
    <w:p w:rsidR="000E3E3A" w:rsidRPr="007E7030" w:rsidRDefault="000E3E3A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4E5D84" w:rsidRDefault="00B44D8D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4E5D84" w:rsidRPr="004E5D84" w:rsidRDefault="004E5D84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E5D84">
        <w:rPr>
          <w:rFonts w:ascii="Cambria" w:hAnsi="Cambria" w:cs="Arial"/>
          <w:bCs/>
          <w:sz w:val="20"/>
        </w:rPr>
        <w:t>Wykonawca w terminie 5 dni roboczych od dnia podpisania umowy przedstawi do zatwierdzenia Zamawiającemu harmonogram finansowo rzeczowy.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lastRenderedPageBreak/>
        <w:t>Harmonogram o którym mowa wyżej będzie uwzględniał: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637E0" w:rsidRPr="007A32ED" w:rsidRDefault="00B44D8D" w:rsidP="007A32ED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</w:p>
    <w:p w:rsidR="000C5C14" w:rsidRP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1: do  dnia ………………….. r.</w:t>
      </w:r>
    </w:p>
    <w:p w:rsid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2: do  dnia ………………….. r.</w:t>
      </w:r>
    </w:p>
    <w:p w:rsidR="006A2B8E" w:rsidRPr="000C5C14" w:rsidRDefault="006A2B8E" w:rsidP="006A2B8E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</w:t>
      </w:r>
      <w:r>
        <w:rPr>
          <w:rFonts w:ascii="Cambria" w:hAnsi="Cambria" w:cs="Arial"/>
          <w:b/>
          <w:sz w:val="20"/>
          <w:szCs w:val="20"/>
        </w:rPr>
        <w:t>anie 3</w:t>
      </w:r>
      <w:r w:rsidRPr="000C5C14">
        <w:rPr>
          <w:rFonts w:ascii="Cambria" w:hAnsi="Cambria" w:cs="Arial"/>
          <w:b/>
          <w:sz w:val="20"/>
          <w:szCs w:val="20"/>
        </w:rPr>
        <w:t>: do  dnia ………………….. r.</w:t>
      </w:r>
    </w:p>
    <w:p w:rsidR="006A2B8E" w:rsidRPr="000C5C14" w:rsidRDefault="006A2B8E" w:rsidP="006A2B8E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</w:t>
      </w:r>
      <w:r>
        <w:rPr>
          <w:rFonts w:ascii="Cambria" w:hAnsi="Cambria" w:cs="Arial"/>
          <w:b/>
          <w:sz w:val="20"/>
          <w:szCs w:val="20"/>
        </w:rPr>
        <w:t>anie 4</w:t>
      </w:r>
      <w:r w:rsidRPr="000C5C14">
        <w:rPr>
          <w:rFonts w:ascii="Cambria" w:hAnsi="Cambria" w:cs="Arial"/>
          <w:b/>
          <w:sz w:val="20"/>
          <w:szCs w:val="20"/>
        </w:rPr>
        <w:t>: do  dnia ………………….. r.</w:t>
      </w:r>
    </w:p>
    <w:p w:rsidR="006A2B8E" w:rsidRPr="000C5C14" w:rsidRDefault="006A2B8E" w:rsidP="006A2B8E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</w:t>
      </w:r>
      <w:r>
        <w:rPr>
          <w:rFonts w:ascii="Cambria" w:hAnsi="Cambria" w:cs="Arial"/>
          <w:b/>
          <w:sz w:val="20"/>
          <w:szCs w:val="20"/>
        </w:rPr>
        <w:t>anie 5</w:t>
      </w:r>
      <w:r w:rsidRPr="000C5C14">
        <w:rPr>
          <w:rFonts w:ascii="Cambria" w:hAnsi="Cambria" w:cs="Arial"/>
          <w:b/>
          <w:sz w:val="20"/>
          <w:szCs w:val="20"/>
        </w:rPr>
        <w:t>: do  dnia ………………….. r.</w:t>
      </w:r>
    </w:p>
    <w:p w:rsidR="00B44D8D" w:rsidRPr="0015433F" w:rsidRDefault="00B44D8D" w:rsidP="007128B2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6A2B8E" w:rsidRDefault="006A2B8E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6A2B8E" w:rsidRDefault="006A2B8E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lastRenderedPageBreak/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 xml:space="preserve">. Powyższy obowiązek   nie dotyczy umów </w:t>
      </w:r>
      <w:r w:rsidR="002132D4">
        <w:rPr>
          <w:rFonts w:ascii="Cambria" w:hAnsi="Cambria" w:cs="Arial"/>
          <w:b w:val="0"/>
          <w:bCs/>
          <w:sz w:val="20"/>
        </w:rPr>
        <w:t xml:space="preserve">na dostawy i usługi, </w:t>
      </w:r>
      <w:r w:rsidRPr="001F5CFD">
        <w:rPr>
          <w:rFonts w:ascii="Cambria" w:hAnsi="Cambria" w:cs="Arial"/>
          <w:b w:val="0"/>
          <w:bCs/>
          <w:sz w:val="20"/>
        </w:rPr>
        <w:t>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lastRenderedPageBreak/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37B39" w:rsidRPr="00222EA4" w:rsidRDefault="00237B3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1579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</w:t>
      </w:r>
      <w:r w:rsidRPr="00526F77">
        <w:rPr>
          <w:rFonts w:ascii="Cambria" w:hAnsi="Cambria" w:cs="Arial"/>
          <w:sz w:val="20"/>
          <w:szCs w:val="20"/>
        </w:rPr>
        <w:lastRenderedPageBreak/>
        <w:t xml:space="preserve">zamówienia upoważnia Zamawiającego 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:rsidR="005B2B8C" w:rsidRPr="009B5237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</w:t>
      </w:r>
      <w:r w:rsidR="005B2B8C">
        <w:rPr>
          <w:rFonts w:ascii="Cambria" w:hAnsi="Cambria" w:cs="Arial"/>
          <w:sz w:val="20"/>
          <w:szCs w:val="20"/>
        </w:rPr>
        <w:t>:</w:t>
      </w:r>
    </w:p>
    <w:p w:rsidR="009B5237" w:rsidRPr="005B2B8C" w:rsidRDefault="009B5237" w:rsidP="009B523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1 </w:t>
      </w:r>
      <w:r w:rsidR="00B44D8D" w:rsidRPr="0015433F">
        <w:rPr>
          <w:rFonts w:ascii="Cambria" w:hAnsi="Cambria" w:cs="Arial"/>
          <w:sz w:val="20"/>
          <w:szCs w:val="20"/>
        </w:rPr>
        <w:t xml:space="preserve"> </w:t>
      </w:r>
      <w:r w:rsidR="00B44D8D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B44D8D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5B2B8C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2 </w:t>
      </w:r>
      <w:r w:rsidR="005B2B8C" w:rsidRPr="0015433F">
        <w:rPr>
          <w:rFonts w:ascii="Cambria" w:hAnsi="Cambria" w:cs="Arial"/>
          <w:sz w:val="20"/>
          <w:szCs w:val="20"/>
        </w:rPr>
        <w:t xml:space="preserve"> </w:t>
      </w:r>
      <w:r w:rsidR="005B2B8C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5B2B8C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6A2B8E" w:rsidRPr="0015433F" w:rsidRDefault="006A2B8E" w:rsidP="006A2B8E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>
        <w:rPr>
          <w:rFonts w:ascii="Cambria" w:hAnsi="Cambria" w:cs="Arial"/>
          <w:b/>
          <w:bCs/>
          <w:sz w:val="20"/>
          <w:szCs w:val="20"/>
        </w:rPr>
        <w:t xml:space="preserve"> 3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6A2B8E" w:rsidRPr="0015433F" w:rsidRDefault="006A2B8E" w:rsidP="006A2B8E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>
        <w:rPr>
          <w:rFonts w:ascii="Cambria" w:hAnsi="Cambria" w:cs="Arial"/>
          <w:b/>
          <w:bCs/>
          <w:sz w:val="20"/>
          <w:szCs w:val="20"/>
        </w:rPr>
        <w:t xml:space="preserve"> 4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6A2B8E" w:rsidRPr="0015433F" w:rsidRDefault="006A2B8E" w:rsidP="006A2B8E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>
        <w:rPr>
          <w:rFonts w:ascii="Cambria" w:hAnsi="Cambria" w:cs="Arial"/>
          <w:b/>
          <w:bCs/>
          <w:sz w:val="20"/>
          <w:szCs w:val="20"/>
        </w:rPr>
        <w:t xml:space="preserve"> 5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016320" w:rsidRPr="0015433F" w:rsidRDefault="00016320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5B2B8C" w:rsidRPr="0015433F" w:rsidRDefault="005B2B8C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9B5237" w:rsidRPr="0015433F" w:rsidRDefault="009B5237" w:rsidP="008D3871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1461AD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10 % ceny brutto wykonania przedmiotu umowy, tj. kwoty – </w:t>
      </w:r>
    </w:p>
    <w:p w:rsidR="00B44D8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 w:rsidR="001461AD">
        <w:rPr>
          <w:rFonts w:ascii="Cambria" w:hAnsi="Cambria" w:cs="Arial"/>
          <w:sz w:val="20"/>
          <w:szCs w:val="20"/>
        </w:rPr>
        <w:t xml:space="preserve"> 1 </w:t>
      </w:r>
      <w:r w:rsidR="00B44D8D" w:rsidRPr="0015433F">
        <w:rPr>
          <w:rFonts w:ascii="Cambria" w:hAnsi="Cambria" w:cs="Arial"/>
          <w:sz w:val="20"/>
          <w:szCs w:val="20"/>
        </w:rPr>
        <w:t>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="00B44D8D" w:rsidRPr="0015433F">
        <w:rPr>
          <w:rFonts w:ascii="Cambria" w:hAnsi="Cambria" w:cs="Arial"/>
          <w:sz w:val="20"/>
          <w:szCs w:val="20"/>
        </w:rPr>
        <w:t>…… złotych …../100).</w:t>
      </w:r>
    </w:p>
    <w:p w:rsidR="001461A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 w:rsidR="001461AD">
        <w:rPr>
          <w:rFonts w:ascii="Cambria" w:hAnsi="Cambria" w:cs="Arial"/>
          <w:sz w:val="20"/>
          <w:szCs w:val="20"/>
        </w:rPr>
        <w:t xml:space="preserve"> 2 </w:t>
      </w:r>
      <w:r w:rsidR="001461AD"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6A2B8E" w:rsidRDefault="006A2B8E" w:rsidP="006A2B8E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>
        <w:rPr>
          <w:rFonts w:ascii="Cambria" w:hAnsi="Cambria" w:cs="Arial"/>
          <w:sz w:val="20"/>
          <w:szCs w:val="20"/>
        </w:rPr>
        <w:t xml:space="preserve"> 3</w:t>
      </w:r>
      <w:r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6A2B8E" w:rsidRDefault="006A2B8E" w:rsidP="006A2B8E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>
        <w:rPr>
          <w:rFonts w:ascii="Cambria" w:hAnsi="Cambria" w:cs="Arial"/>
          <w:sz w:val="20"/>
          <w:szCs w:val="20"/>
        </w:rPr>
        <w:t xml:space="preserve"> 4</w:t>
      </w:r>
      <w:r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6A2B8E" w:rsidRDefault="006A2B8E" w:rsidP="006A2B8E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>
        <w:rPr>
          <w:rFonts w:ascii="Cambria" w:hAnsi="Cambria" w:cs="Arial"/>
          <w:sz w:val="20"/>
          <w:szCs w:val="20"/>
        </w:rPr>
        <w:t xml:space="preserve"> 5</w:t>
      </w:r>
      <w:r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4C1B3E" w:rsidRPr="0015433F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Pr="0015433F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F314FB">
        <w:t xml:space="preserve"> </w:t>
      </w: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8D3871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8D3871" w:rsidRPr="0015433F" w:rsidRDefault="008D3871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</w:t>
      </w:r>
      <w:r w:rsidRPr="0015433F">
        <w:rPr>
          <w:rFonts w:ascii="Cambria" w:hAnsi="Cambria" w:cs="Arial"/>
          <w:sz w:val="20"/>
          <w:szCs w:val="20"/>
        </w:rPr>
        <w:lastRenderedPageBreak/>
        <w:t xml:space="preserve">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</w:t>
      </w:r>
      <w:r w:rsidR="00E945FB">
        <w:rPr>
          <w:rFonts w:ascii="Cambria" w:hAnsi="Cambria" w:cs="Arial"/>
          <w:bCs/>
          <w:sz w:val="20"/>
          <w:szCs w:val="20"/>
        </w:rPr>
        <w:t xml:space="preserve">i uznane </w:t>
      </w:r>
      <w:r w:rsidRPr="0015433F">
        <w:rPr>
          <w:rFonts w:ascii="Cambria" w:hAnsi="Cambria" w:cs="Arial"/>
          <w:bCs/>
          <w:sz w:val="20"/>
          <w:szCs w:val="20"/>
        </w:rPr>
        <w:t xml:space="preserve">za roboty zaniechane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lastRenderedPageBreak/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D010C9" w:rsidRPr="00AC2BF0" w:rsidRDefault="00043129" w:rsidP="00D010C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043129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„Przebudowa </w:t>
      </w:r>
      <w:r w:rsidR="006A2B8E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i remont </w:t>
      </w:r>
      <w:r w:rsidRPr="00043129">
        <w:rPr>
          <w:rFonts w:ascii="Cambria" w:hAnsi="Cambria" w:cs="Arial"/>
          <w:b/>
          <w:bCs/>
          <w:iCs/>
          <w:sz w:val="20"/>
          <w:szCs w:val="20"/>
          <w:lang w:eastAsia="ar-SA"/>
        </w:rPr>
        <w:t>dróg na terenie Miasta i Gminy Skalbmierz”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bookmarkStart w:id="2" w:name="_GoBack"/>
      <w:bookmarkEnd w:id="2"/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15433F" w:rsidRPr="00043129" w:rsidRDefault="0015433F" w:rsidP="0004312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04312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04312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043129">
        <w:rPr>
          <w:rFonts w:ascii="Cambria" w:hAnsi="Cambria" w:cs="Arial Narrow"/>
          <w:b/>
          <w:sz w:val="20"/>
          <w:szCs w:val="20"/>
        </w:rPr>
        <w:t xml:space="preserve">, </w:t>
      </w:r>
      <w:r w:rsidR="0004312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74" w:rsidRDefault="00024674">
      <w:pPr>
        <w:spacing w:after="0" w:line="240" w:lineRule="auto"/>
      </w:pPr>
      <w:r>
        <w:separator/>
      </w:r>
    </w:p>
  </w:endnote>
  <w:endnote w:type="continuationSeparator" w:id="0">
    <w:p w:rsidR="00024674" w:rsidRDefault="0002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AF4DE6" w:rsidRPr="00B65163">
      <w:rPr>
        <w:b/>
        <w:sz w:val="16"/>
        <w:szCs w:val="24"/>
      </w:rPr>
      <w:fldChar w:fldCharType="separate"/>
    </w:r>
    <w:r w:rsidR="006A2B8E">
      <w:rPr>
        <w:b/>
        <w:noProof/>
        <w:sz w:val="16"/>
      </w:rPr>
      <w:t>2</w:t>
    </w:r>
    <w:r w:rsidR="00AF4DE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AF4DE6" w:rsidRPr="00B65163">
      <w:rPr>
        <w:b/>
        <w:sz w:val="16"/>
        <w:szCs w:val="24"/>
      </w:rPr>
      <w:fldChar w:fldCharType="separate"/>
    </w:r>
    <w:r w:rsidR="006A2B8E">
      <w:rPr>
        <w:b/>
        <w:noProof/>
        <w:sz w:val="16"/>
      </w:rPr>
      <w:t>14</w:t>
    </w:r>
    <w:r w:rsidR="00AF4DE6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74" w:rsidRDefault="00024674">
      <w:pPr>
        <w:spacing w:after="0" w:line="240" w:lineRule="auto"/>
      </w:pPr>
      <w:r>
        <w:separator/>
      </w:r>
    </w:p>
  </w:footnote>
  <w:footnote w:type="continuationSeparator" w:id="0">
    <w:p w:rsidR="00024674" w:rsidRDefault="0002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4A" w:rsidRDefault="007C024A" w:rsidP="007C024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6A2B8E">
      <w:rPr>
        <w:rFonts w:ascii="Cambria" w:hAnsi="Cambria" w:cs="Arial"/>
        <w:b/>
        <w:sz w:val="20"/>
        <w:szCs w:val="20"/>
      </w:rPr>
      <w:t>IZP.271.16</w:t>
    </w:r>
    <w:r w:rsidR="00BD16D7">
      <w:rPr>
        <w:rFonts w:ascii="Cambria" w:hAnsi="Cambria" w:cs="Arial"/>
        <w:b/>
        <w:sz w:val="20"/>
        <w:szCs w:val="20"/>
      </w:rPr>
      <w:t>.2018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7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37317F3C"/>
    <w:multiLevelType w:val="multilevel"/>
    <w:tmpl w:val="83FAB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9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6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8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2"/>
  </w:num>
  <w:num w:numId="34">
    <w:abstractNumId w:val="47"/>
  </w:num>
  <w:num w:numId="35">
    <w:abstractNumId w:val="24"/>
  </w:num>
  <w:num w:numId="36">
    <w:abstractNumId w:val="52"/>
  </w:num>
  <w:num w:numId="37">
    <w:abstractNumId w:val="60"/>
  </w:num>
  <w:num w:numId="38">
    <w:abstractNumId w:val="54"/>
  </w:num>
  <w:num w:numId="39">
    <w:abstractNumId w:val="44"/>
  </w:num>
  <w:num w:numId="40">
    <w:abstractNumId w:val="45"/>
  </w:num>
  <w:num w:numId="41">
    <w:abstractNumId w:val="59"/>
  </w:num>
  <w:num w:numId="42">
    <w:abstractNumId w:val="40"/>
  </w:num>
  <w:num w:numId="43">
    <w:abstractNumId w:val="58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</w:num>
  <w:num w:numId="46">
    <w:abstractNumId w:val="46"/>
  </w:num>
  <w:num w:numId="47">
    <w:abstractNumId w:val="53"/>
  </w:num>
  <w:num w:numId="48">
    <w:abstractNumId w:val="48"/>
  </w:num>
  <w:num w:numId="49">
    <w:abstractNumId w:val="50"/>
  </w:num>
  <w:num w:numId="50">
    <w:abstractNumId w:val="43"/>
  </w:num>
  <w:num w:numId="51">
    <w:abstractNumId w:val="41"/>
  </w:num>
  <w:num w:numId="52">
    <w:abstractNumId w:val="55"/>
  </w:num>
  <w:num w:numId="53">
    <w:abstractNumId w:val="39"/>
  </w:num>
  <w:num w:numId="54">
    <w:abstractNumId w:val="5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0020"/>
    <w:rsid w:val="000110B7"/>
    <w:rsid w:val="0001250F"/>
    <w:rsid w:val="00016320"/>
    <w:rsid w:val="00021B96"/>
    <w:rsid w:val="00024674"/>
    <w:rsid w:val="00030B95"/>
    <w:rsid w:val="00043129"/>
    <w:rsid w:val="000645D7"/>
    <w:rsid w:val="000717E1"/>
    <w:rsid w:val="00075C57"/>
    <w:rsid w:val="00093967"/>
    <w:rsid w:val="000A01FD"/>
    <w:rsid w:val="000C208E"/>
    <w:rsid w:val="000C5C14"/>
    <w:rsid w:val="000E3E3A"/>
    <w:rsid w:val="000F0576"/>
    <w:rsid w:val="000F0EEC"/>
    <w:rsid w:val="000F70D8"/>
    <w:rsid w:val="001461AD"/>
    <w:rsid w:val="001528CF"/>
    <w:rsid w:val="0015433F"/>
    <w:rsid w:val="00166C2B"/>
    <w:rsid w:val="00184C26"/>
    <w:rsid w:val="00184FCA"/>
    <w:rsid w:val="001A3E05"/>
    <w:rsid w:val="001B2BB9"/>
    <w:rsid w:val="001C0AC6"/>
    <w:rsid w:val="001C5C85"/>
    <w:rsid w:val="001D4587"/>
    <w:rsid w:val="001D6341"/>
    <w:rsid w:val="001E05EF"/>
    <w:rsid w:val="001E5879"/>
    <w:rsid w:val="001F048F"/>
    <w:rsid w:val="001F5CFD"/>
    <w:rsid w:val="001F7117"/>
    <w:rsid w:val="00201B05"/>
    <w:rsid w:val="002132D4"/>
    <w:rsid w:val="00217047"/>
    <w:rsid w:val="00233461"/>
    <w:rsid w:val="00237B39"/>
    <w:rsid w:val="00244C27"/>
    <w:rsid w:val="002513A3"/>
    <w:rsid w:val="00267FC9"/>
    <w:rsid w:val="00292A22"/>
    <w:rsid w:val="002A19B9"/>
    <w:rsid w:val="002B5AD9"/>
    <w:rsid w:val="002E5F0A"/>
    <w:rsid w:val="002E7595"/>
    <w:rsid w:val="002E7630"/>
    <w:rsid w:val="002F410E"/>
    <w:rsid w:val="002F4D99"/>
    <w:rsid w:val="002F794D"/>
    <w:rsid w:val="003017A8"/>
    <w:rsid w:val="003129F2"/>
    <w:rsid w:val="00337197"/>
    <w:rsid w:val="003513F6"/>
    <w:rsid w:val="003617FC"/>
    <w:rsid w:val="00371DA4"/>
    <w:rsid w:val="00377DCD"/>
    <w:rsid w:val="00395E1E"/>
    <w:rsid w:val="00397821"/>
    <w:rsid w:val="003A2D5D"/>
    <w:rsid w:val="003B4A2B"/>
    <w:rsid w:val="003D48FD"/>
    <w:rsid w:val="003F32A2"/>
    <w:rsid w:val="00400569"/>
    <w:rsid w:val="00406636"/>
    <w:rsid w:val="00436C21"/>
    <w:rsid w:val="00440B86"/>
    <w:rsid w:val="00447E5F"/>
    <w:rsid w:val="0046155A"/>
    <w:rsid w:val="004707D7"/>
    <w:rsid w:val="00480B4A"/>
    <w:rsid w:val="004902C6"/>
    <w:rsid w:val="004918A9"/>
    <w:rsid w:val="00492AB2"/>
    <w:rsid w:val="004A51B5"/>
    <w:rsid w:val="004B59B9"/>
    <w:rsid w:val="004C1B3E"/>
    <w:rsid w:val="004C6298"/>
    <w:rsid w:val="004D153B"/>
    <w:rsid w:val="004D1B27"/>
    <w:rsid w:val="004D3BB2"/>
    <w:rsid w:val="004D407F"/>
    <w:rsid w:val="004E184B"/>
    <w:rsid w:val="004E1D6D"/>
    <w:rsid w:val="004E5D84"/>
    <w:rsid w:val="004F2190"/>
    <w:rsid w:val="004F66FE"/>
    <w:rsid w:val="00511109"/>
    <w:rsid w:val="00523F93"/>
    <w:rsid w:val="00530095"/>
    <w:rsid w:val="00551697"/>
    <w:rsid w:val="0055344B"/>
    <w:rsid w:val="005741A4"/>
    <w:rsid w:val="00583478"/>
    <w:rsid w:val="00590D8E"/>
    <w:rsid w:val="00593BAB"/>
    <w:rsid w:val="005948EB"/>
    <w:rsid w:val="00594EA3"/>
    <w:rsid w:val="005A15B6"/>
    <w:rsid w:val="005B2B8C"/>
    <w:rsid w:val="005B6E96"/>
    <w:rsid w:val="005B7069"/>
    <w:rsid w:val="005C1D24"/>
    <w:rsid w:val="005D3310"/>
    <w:rsid w:val="005D5FDF"/>
    <w:rsid w:val="005D7D86"/>
    <w:rsid w:val="00603958"/>
    <w:rsid w:val="0060682E"/>
    <w:rsid w:val="00615C30"/>
    <w:rsid w:val="00623D1B"/>
    <w:rsid w:val="00642D1C"/>
    <w:rsid w:val="00652A38"/>
    <w:rsid w:val="00655FA1"/>
    <w:rsid w:val="006755E7"/>
    <w:rsid w:val="00680B12"/>
    <w:rsid w:val="0069062C"/>
    <w:rsid w:val="00692BF1"/>
    <w:rsid w:val="006A2B8E"/>
    <w:rsid w:val="006A49B1"/>
    <w:rsid w:val="006D3C34"/>
    <w:rsid w:val="006D52F5"/>
    <w:rsid w:val="00701B6F"/>
    <w:rsid w:val="00711380"/>
    <w:rsid w:val="007128B2"/>
    <w:rsid w:val="00715F12"/>
    <w:rsid w:val="00724892"/>
    <w:rsid w:val="0074073D"/>
    <w:rsid w:val="007600E8"/>
    <w:rsid w:val="00766C7F"/>
    <w:rsid w:val="00775C8A"/>
    <w:rsid w:val="007771EC"/>
    <w:rsid w:val="00784CEE"/>
    <w:rsid w:val="007974F1"/>
    <w:rsid w:val="007A32ED"/>
    <w:rsid w:val="007B3AF7"/>
    <w:rsid w:val="007C024A"/>
    <w:rsid w:val="007C3912"/>
    <w:rsid w:val="007C5F01"/>
    <w:rsid w:val="007E7030"/>
    <w:rsid w:val="00823882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8D3871"/>
    <w:rsid w:val="00933184"/>
    <w:rsid w:val="00945587"/>
    <w:rsid w:val="00967C00"/>
    <w:rsid w:val="00980AF1"/>
    <w:rsid w:val="009819E5"/>
    <w:rsid w:val="00981A32"/>
    <w:rsid w:val="00995236"/>
    <w:rsid w:val="0099620B"/>
    <w:rsid w:val="009B5237"/>
    <w:rsid w:val="009C42D9"/>
    <w:rsid w:val="009D0441"/>
    <w:rsid w:val="009D73DC"/>
    <w:rsid w:val="009F05BD"/>
    <w:rsid w:val="00A1478F"/>
    <w:rsid w:val="00A14F21"/>
    <w:rsid w:val="00A238DA"/>
    <w:rsid w:val="00A61CA6"/>
    <w:rsid w:val="00A61CCF"/>
    <w:rsid w:val="00A858A8"/>
    <w:rsid w:val="00A95A43"/>
    <w:rsid w:val="00AF08E9"/>
    <w:rsid w:val="00AF3DC6"/>
    <w:rsid w:val="00AF4DE6"/>
    <w:rsid w:val="00B11C68"/>
    <w:rsid w:val="00B24C17"/>
    <w:rsid w:val="00B3110F"/>
    <w:rsid w:val="00B33DF4"/>
    <w:rsid w:val="00B369E3"/>
    <w:rsid w:val="00B44D8D"/>
    <w:rsid w:val="00B67C9A"/>
    <w:rsid w:val="00B96BEF"/>
    <w:rsid w:val="00BA19FE"/>
    <w:rsid w:val="00BD16D7"/>
    <w:rsid w:val="00BD592C"/>
    <w:rsid w:val="00BD5E1C"/>
    <w:rsid w:val="00BF06E5"/>
    <w:rsid w:val="00BF67A3"/>
    <w:rsid w:val="00C058FF"/>
    <w:rsid w:val="00C12C49"/>
    <w:rsid w:val="00C20548"/>
    <w:rsid w:val="00C542F2"/>
    <w:rsid w:val="00C64617"/>
    <w:rsid w:val="00C67D9F"/>
    <w:rsid w:val="00C70437"/>
    <w:rsid w:val="00C74B49"/>
    <w:rsid w:val="00CA0EBC"/>
    <w:rsid w:val="00CA48A2"/>
    <w:rsid w:val="00CB3B2E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95A"/>
    <w:rsid w:val="00D242F8"/>
    <w:rsid w:val="00D3070F"/>
    <w:rsid w:val="00D44F66"/>
    <w:rsid w:val="00D637E0"/>
    <w:rsid w:val="00D72A0D"/>
    <w:rsid w:val="00D91228"/>
    <w:rsid w:val="00DD0072"/>
    <w:rsid w:val="00E0108B"/>
    <w:rsid w:val="00E32D1C"/>
    <w:rsid w:val="00E41690"/>
    <w:rsid w:val="00E54537"/>
    <w:rsid w:val="00E572EC"/>
    <w:rsid w:val="00E86110"/>
    <w:rsid w:val="00E878D6"/>
    <w:rsid w:val="00E945FB"/>
    <w:rsid w:val="00E956C2"/>
    <w:rsid w:val="00EC1357"/>
    <w:rsid w:val="00EC5A3A"/>
    <w:rsid w:val="00ED2F84"/>
    <w:rsid w:val="00EF2717"/>
    <w:rsid w:val="00F16BD0"/>
    <w:rsid w:val="00F314FB"/>
    <w:rsid w:val="00F3203C"/>
    <w:rsid w:val="00F522D5"/>
    <w:rsid w:val="00F62D5F"/>
    <w:rsid w:val="00F80919"/>
    <w:rsid w:val="00FA1325"/>
    <w:rsid w:val="00FA5F33"/>
    <w:rsid w:val="00FA63FD"/>
    <w:rsid w:val="00FB445A"/>
    <w:rsid w:val="00FF0CD9"/>
    <w:rsid w:val="00FF1468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EB85-C47D-47FA-B904-ADA319F3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6431</Words>
  <Characters>38590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Mateusz Piechota</cp:lastModifiedBy>
  <cp:revision>28</cp:revision>
  <cp:lastPrinted>2017-02-16T12:50:00Z</cp:lastPrinted>
  <dcterms:created xsi:type="dcterms:W3CDTF">2018-06-14T07:28:00Z</dcterms:created>
  <dcterms:modified xsi:type="dcterms:W3CDTF">2018-10-17T10:40:00Z</dcterms:modified>
</cp:coreProperties>
</file>